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9296" w14:textId="18B50A6C" w:rsidR="0068381B" w:rsidRPr="009E599D" w:rsidRDefault="00FF1E66">
      <w:pPr>
        <w:pStyle w:val="BodyA"/>
        <w:rPr>
          <w:b/>
          <w:bCs/>
          <w:smallCaps/>
          <w:sz w:val="20"/>
          <w:szCs w:val="20"/>
        </w:rPr>
      </w:pPr>
      <w:r>
        <w:rPr>
          <w:b/>
          <w:bCs/>
          <w:noProof/>
          <w:sz w:val="20"/>
          <w:szCs w:val="20"/>
          <w14:textOutline w14:w="0" w14:cap="rnd" w14:cmpd="sng" w14:algn="ctr">
            <w14:noFill/>
            <w14:prstDash w14:val="solid"/>
            <w14:bevel/>
          </w14:textOutline>
        </w:rPr>
        <w:drawing>
          <wp:anchor distT="0" distB="0" distL="114300" distR="114300" simplePos="0" relativeHeight="251658240" behindDoc="1" locked="0" layoutInCell="1" allowOverlap="1" wp14:anchorId="56EABBCF" wp14:editId="0170B8CD">
            <wp:simplePos x="0" y="0"/>
            <wp:positionH relativeFrom="column">
              <wp:posOffset>2197882</wp:posOffset>
            </wp:positionH>
            <wp:positionV relativeFrom="paragraph">
              <wp:posOffset>-742315</wp:posOffset>
            </wp:positionV>
            <wp:extent cx="1618664" cy="1826603"/>
            <wp:effectExtent l="0" t="0" r="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8664" cy="1826603"/>
                    </a:xfrm>
                    <a:prstGeom prst="rect">
                      <a:avLst/>
                    </a:prstGeom>
                  </pic:spPr>
                </pic:pic>
              </a:graphicData>
            </a:graphic>
            <wp14:sizeRelH relativeFrom="page">
              <wp14:pctWidth>0</wp14:pctWidth>
            </wp14:sizeRelH>
            <wp14:sizeRelV relativeFrom="page">
              <wp14:pctHeight>0</wp14:pctHeight>
            </wp14:sizeRelV>
          </wp:anchor>
        </w:drawing>
      </w:r>
      <w:r w:rsidR="008B1102">
        <w:rPr>
          <w:b/>
          <w:bCs/>
        </w:rPr>
        <w:t xml:space="preserve">                                             </w:t>
      </w:r>
      <w:r w:rsidR="008B1102">
        <w:rPr>
          <w:b/>
          <w:bCs/>
          <w:sz w:val="20"/>
          <w:szCs w:val="20"/>
        </w:rPr>
        <w:tab/>
      </w:r>
      <w:r w:rsidR="008B1102">
        <w:rPr>
          <w:b/>
          <w:bCs/>
          <w:sz w:val="20"/>
          <w:szCs w:val="20"/>
        </w:rPr>
        <w:tab/>
      </w:r>
      <w:r w:rsidR="008B1102">
        <w:rPr>
          <w:b/>
          <w:bCs/>
          <w:sz w:val="20"/>
          <w:szCs w:val="20"/>
        </w:rPr>
        <w:tab/>
      </w:r>
      <w:r w:rsidR="008B1102">
        <w:rPr>
          <w:b/>
          <w:bCs/>
          <w:sz w:val="20"/>
          <w:szCs w:val="20"/>
        </w:rPr>
        <w:tab/>
      </w:r>
      <w:r w:rsidR="008B1102">
        <w:rPr>
          <w:b/>
          <w:bCs/>
          <w:sz w:val="20"/>
          <w:szCs w:val="20"/>
        </w:rPr>
        <w:tab/>
      </w:r>
      <w:r w:rsidR="008B1102">
        <w:rPr>
          <w:b/>
          <w:bCs/>
          <w:sz w:val="20"/>
          <w:szCs w:val="20"/>
        </w:rPr>
        <w:tab/>
        <w:t xml:space="preserve">            </w:t>
      </w:r>
      <w:r w:rsidR="008B1102">
        <w:rPr>
          <w:b/>
          <w:bCs/>
          <w:smallCaps/>
          <w:sz w:val="20"/>
          <w:szCs w:val="20"/>
        </w:rPr>
        <w:t>For Immediate Release         For More Media Information:</w:t>
      </w:r>
      <w:r w:rsidR="008B1102">
        <w:rPr>
          <w:b/>
          <w:bCs/>
          <w:smallCaps/>
          <w:sz w:val="20"/>
          <w:szCs w:val="20"/>
        </w:rPr>
        <w:tab/>
      </w:r>
      <w:r w:rsidR="008B1102">
        <w:rPr>
          <w:b/>
          <w:bCs/>
          <w:smallCaps/>
          <w:sz w:val="20"/>
          <w:szCs w:val="20"/>
        </w:rPr>
        <w:tab/>
        <w:t xml:space="preserve">                                            </w:t>
      </w:r>
      <w:r w:rsidR="008B1102">
        <w:rPr>
          <w:smallCaps/>
          <w:sz w:val="20"/>
          <w:szCs w:val="20"/>
        </w:rPr>
        <w:tab/>
      </w:r>
      <w:r w:rsidR="008B1102">
        <w:rPr>
          <w:smallCaps/>
          <w:sz w:val="20"/>
          <w:szCs w:val="20"/>
        </w:rPr>
        <w:tab/>
      </w:r>
      <w:r w:rsidR="008B1102">
        <w:rPr>
          <w:smallCaps/>
          <w:sz w:val="20"/>
          <w:szCs w:val="20"/>
        </w:rPr>
        <w:tab/>
      </w:r>
      <w:r w:rsidR="008B1102">
        <w:rPr>
          <w:smallCaps/>
          <w:sz w:val="20"/>
          <w:szCs w:val="20"/>
        </w:rPr>
        <w:tab/>
      </w:r>
      <w:r w:rsidR="008B1102">
        <w:rPr>
          <w:smallCaps/>
          <w:sz w:val="20"/>
          <w:szCs w:val="20"/>
        </w:rPr>
        <w:tab/>
      </w:r>
      <w:r w:rsidR="008B1102">
        <w:rPr>
          <w:smallCaps/>
          <w:sz w:val="20"/>
          <w:szCs w:val="20"/>
        </w:rPr>
        <w:tab/>
        <w:t xml:space="preserve"> </w:t>
      </w:r>
    </w:p>
    <w:p w14:paraId="01B67C15" w14:textId="1E422B67" w:rsidR="0068381B" w:rsidRDefault="008B1102">
      <w:pPr>
        <w:pStyle w:val="BodyA"/>
        <w:tabs>
          <w:tab w:val="left" w:pos="720"/>
          <w:tab w:val="left" w:pos="3600"/>
          <w:tab w:val="left" w:pos="8860"/>
        </w:tabs>
        <w:rPr>
          <w:smallCaps/>
          <w:sz w:val="20"/>
          <w:szCs w:val="20"/>
        </w:rPr>
      </w:pPr>
      <w:r>
        <w:rPr>
          <w:smallCaps/>
          <w:sz w:val="20"/>
          <w:szCs w:val="20"/>
        </w:rPr>
        <w:t>The Zimmerman Agency</w:t>
      </w:r>
    </w:p>
    <w:p w14:paraId="50C2E135" w14:textId="4E09229D" w:rsidR="0068381B" w:rsidRDefault="009E599D">
      <w:pPr>
        <w:pStyle w:val="BodyA"/>
        <w:tabs>
          <w:tab w:val="left" w:pos="720"/>
          <w:tab w:val="left" w:pos="3600"/>
          <w:tab w:val="left" w:pos="8860"/>
        </w:tabs>
        <w:rPr>
          <w:smallCaps/>
          <w:sz w:val="20"/>
          <w:szCs w:val="20"/>
        </w:rPr>
      </w:pPr>
      <w:r>
        <w:rPr>
          <w:smallCaps/>
          <w:sz w:val="20"/>
          <w:szCs w:val="20"/>
        </w:rPr>
        <w:t>tpcpr</w:t>
      </w:r>
      <w:r w:rsidR="008B1102">
        <w:rPr>
          <w:smallCaps/>
          <w:sz w:val="20"/>
          <w:szCs w:val="20"/>
        </w:rPr>
        <w:t>@zimmerman.com</w:t>
      </w:r>
    </w:p>
    <w:p w14:paraId="5F469535" w14:textId="036733FF" w:rsidR="0068381B" w:rsidRDefault="0068381B">
      <w:pPr>
        <w:pStyle w:val="BodyA"/>
        <w:tabs>
          <w:tab w:val="left" w:pos="720"/>
          <w:tab w:val="left" w:pos="3600"/>
          <w:tab w:val="left" w:pos="8860"/>
        </w:tabs>
        <w:rPr>
          <w:rFonts w:ascii="Helvetica" w:eastAsia="Helvetica" w:hAnsi="Helvetica" w:cs="Helvetica"/>
        </w:rPr>
      </w:pPr>
    </w:p>
    <w:p w14:paraId="2DAB7AD1" w14:textId="77777777" w:rsidR="00D31186" w:rsidRDefault="00D31186" w:rsidP="004E0816">
      <w:pPr>
        <w:pStyle w:val="BodyA"/>
        <w:jc w:val="center"/>
        <w:rPr>
          <w:b/>
          <w:bCs/>
          <w:sz w:val="28"/>
          <w:szCs w:val="28"/>
        </w:rPr>
      </w:pPr>
    </w:p>
    <w:p w14:paraId="024425C7" w14:textId="6679DD89" w:rsidR="00D31186" w:rsidRDefault="00D31186" w:rsidP="004E0816">
      <w:pPr>
        <w:pStyle w:val="BodyA"/>
        <w:jc w:val="center"/>
        <w:rPr>
          <w:b/>
          <w:bCs/>
          <w:sz w:val="28"/>
          <w:szCs w:val="28"/>
        </w:rPr>
      </w:pPr>
    </w:p>
    <w:p w14:paraId="5228B33B" w14:textId="77777777" w:rsidR="006B7387" w:rsidRDefault="006B7387" w:rsidP="002D43F6">
      <w:pPr>
        <w:pStyle w:val="BodyA"/>
        <w:rPr>
          <w:b/>
          <w:bCs/>
          <w:sz w:val="28"/>
          <w:szCs w:val="28"/>
        </w:rPr>
      </w:pPr>
    </w:p>
    <w:p w14:paraId="0E2FA1B8" w14:textId="77777777" w:rsidR="00D31186" w:rsidRDefault="00FE4341" w:rsidP="004E0816">
      <w:pPr>
        <w:pStyle w:val="BodyA"/>
        <w:jc w:val="center"/>
        <w:rPr>
          <w:b/>
          <w:bCs/>
          <w:sz w:val="28"/>
          <w:szCs w:val="28"/>
        </w:rPr>
      </w:pPr>
      <w:r w:rsidRPr="00FE4341">
        <w:rPr>
          <w:b/>
          <w:bCs/>
          <w:sz w:val="28"/>
          <w:szCs w:val="28"/>
        </w:rPr>
        <w:t xml:space="preserve">TPC </w:t>
      </w:r>
      <w:r w:rsidR="00FF1E66">
        <w:rPr>
          <w:b/>
          <w:bCs/>
          <w:sz w:val="28"/>
          <w:szCs w:val="28"/>
        </w:rPr>
        <w:t>SUMMERLIN</w:t>
      </w:r>
      <w:r w:rsidR="004E0816">
        <w:rPr>
          <w:b/>
          <w:bCs/>
          <w:sz w:val="28"/>
          <w:szCs w:val="28"/>
        </w:rPr>
        <w:t xml:space="preserve">’S DALE HAHN </w:t>
      </w:r>
    </w:p>
    <w:p w14:paraId="1E2BFAE2" w14:textId="3EFB02C0" w:rsidR="0068381B" w:rsidRPr="00D31186" w:rsidRDefault="00D31186" w:rsidP="00D31186">
      <w:pPr>
        <w:pStyle w:val="BodyA"/>
        <w:jc w:val="center"/>
        <w:rPr>
          <w:b/>
          <w:bCs/>
          <w:sz w:val="28"/>
          <w:szCs w:val="28"/>
        </w:rPr>
      </w:pPr>
      <w:r>
        <w:rPr>
          <w:b/>
          <w:bCs/>
          <w:sz w:val="28"/>
          <w:szCs w:val="28"/>
        </w:rPr>
        <w:t>ELECTED</w:t>
      </w:r>
      <w:r w:rsidR="004E0816">
        <w:rPr>
          <w:b/>
          <w:bCs/>
          <w:sz w:val="28"/>
          <w:szCs w:val="28"/>
        </w:rPr>
        <w:t xml:space="preserve"> TO </w:t>
      </w:r>
      <w:r w:rsidR="000701B2">
        <w:rPr>
          <w:b/>
          <w:bCs/>
          <w:sz w:val="28"/>
          <w:szCs w:val="28"/>
        </w:rPr>
        <w:t xml:space="preserve">LAS VEGAS GOLF HALL OF FAME </w:t>
      </w:r>
    </w:p>
    <w:p w14:paraId="184473FD" w14:textId="77777777" w:rsidR="0068381B" w:rsidRDefault="0068381B">
      <w:pPr>
        <w:pStyle w:val="BodyA"/>
      </w:pPr>
    </w:p>
    <w:p w14:paraId="086D1B49" w14:textId="6FD64431" w:rsidR="00550E57" w:rsidRPr="00E421CC" w:rsidRDefault="00FF1E66">
      <w:pPr>
        <w:pStyle w:val="BodyA"/>
        <w:tabs>
          <w:tab w:val="left" w:pos="5240"/>
        </w:tabs>
        <w:rPr>
          <w:color w:val="000000" w:themeColor="text1"/>
          <w:shd w:val="clear" w:color="auto" w:fill="FFFFFF"/>
        </w:rPr>
      </w:pPr>
      <w:r w:rsidRPr="00E421CC">
        <w:rPr>
          <w:b/>
          <w:bCs/>
          <w:color w:val="000000" w:themeColor="text1"/>
        </w:rPr>
        <w:t>LAS VEGAS</w:t>
      </w:r>
      <w:r w:rsidR="008B1102" w:rsidRPr="00E421CC">
        <w:rPr>
          <w:color w:val="000000" w:themeColor="text1"/>
        </w:rPr>
        <w:t xml:space="preserve"> – </w:t>
      </w:r>
      <w:r w:rsidR="002D43F6">
        <w:rPr>
          <w:color w:val="000000" w:themeColor="text1"/>
          <w:u w:color="FF0000"/>
        </w:rPr>
        <w:t>July 12</w:t>
      </w:r>
      <w:r w:rsidR="008B1102" w:rsidRPr="00E421CC">
        <w:rPr>
          <w:color w:val="000000" w:themeColor="text1"/>
          <w:u w:color="FF0000"/>
        </w:rPr>
        <w:t>, 202</w:t>
      </w:r>
      <w:r w:rsidR="004E0816">
        <w:rPr>
          <w:color w:val="000000" w:themeColor="text1"/>
          <w:u w:color="FF0000"/>
        </w:rPr>
        <w:t>2</w:t>
      </w:r>
      <w:r w:rsidR="008B1102" w:rsidRPr="00E421CC">
        <w:rPr>
          <w:color w:val="000000" w:themeColor="text1"/>
          <w:u w:color="FF0000"/>
        </w:rPr>
        <w:t xml:space="preserve"> </w:t>
      </w:r>
      <w:r w:rsidR="008B1102" w:rsidRPr="00E421CC">
        <w:rPr>
          <w:color w:val="000000" w:themeColor="text1"/>
        </w:rPr>
        <w:t xml:space="preserve">– </w:t>
      </w:r>
      <w:hyperlink r:id="rId7" w:history="1">
        <w:r w:rsidR="00CE2950" w:rsidRPr="0047578D">
          <w:rPr>
            <w:rStyle w:val="Hyperlink"/>
          </w:rPr>
          <w:t xml:space="preserve">TPC </w:t>
        </w:r>
        <w:r w:rsidR="008676E1" w:rsidRPr="0047578D">
          <w:rPr>
            <w:rStyle w:val="Hyperlink"/>
          </w:rPr>
          <w:t>Summerlin</w:t>
        </w:r>
      </w:hyperlink>
      <w:r w:rsidR="008B1102" w:rsidRPr="00E421CC">
        <w:rPr>
          <w:color w:val="000000" w:themeColor="text1"/>
        </w:rPr>
        <w:t>,</w:t>
      </w:r>
      <w:r w:rsidR="00550E57" w:rsidRPr="00E421CC">
        <w:rPr>
          <w:color w:val="000000" w:themeColor="text1"/>
        </w:rPr>
        <w:t xml:space="preserve"> a private 18-hole golf course</w:t>
      </w:r>
      <w:r w:rsidR="008B1102" w:rsidRPr="00E421CC">
        <w:rPr>
          <w:color w:val="000000" w:themeColor="text1"/>
        </w:rPr>
        <w:t xml:space="preserve"> </w:t>
      </w:r>
      <w:r w:rsidR="002D43F6" w:rsidRPr="006B7387">
        <w:rPr>
          <w:color w:val="000000" w:themeColor="text1"/>
          <w:shd w:val="clear" w:color="auto" w:fill="FFFFFF"/>
        </w:rPr>
        <w:t>located just minutes from the famed Las Vegas Strip</w:t>
      </w:r>
      <w:r w:rsidR="00550E57" w:rsidRPr="00E421CC">
        <w:rPr>
          <w:color w:val="000000" w:themeColor="text1"/>
          <w:shd w:val="clear" w:color="auto" w:fill="FFFFFF"/>
        </w:rPr>
        <w:t xml:space="preserve"> and host to the PGA TOUR’s Shriners Children's </w:t>
      </w:r>
      <w:r w:rsidR="004F3C09" w:rsidRPr="00E421CC">
        <w:rPr>
          <w:color w:val="000000" w:themeColor="text1"/>
          <w:shd w:val="clear" w:color="auto" w:fill="FFFFFF"/>
        </w:rPr>
        <w:t xml:space="preserve">Open, </w:t>
      </w:r>
      <w:r w:rsidR="004F3C09">
        <w:rPr>
          <w:color w:val="000000" w:themeColor="text1"/>
          <w:shd w:val="clear" w:color="auto" w:fill="FFFFFF"/>
        </w:rPr>
        <w:t>congratulates</w:t>
      </w:r>
      <w:r w:rsidR="006F7976">
        <w:rPr>
          <w:color w:val="000000" w:themeColor="text1"/>
          <w:shd w:val="clear" w:color="auto" w:fill="FFFFFF"/>
        </w:rPr>
        <w:t xml:space="preserve"> </w:t>
      </w:r>
      <w:r w:rsidR="00D31186">
        <w:rPr>
          <w:color w:val="000000" w:themeColor="text1"/>
          <w:shd w:val="clear" w:color="auto" w:fill="FFFFFF"/>
        </w:rPr>
        <w:t xml:space="preserve">Dale Hahn, </w:t>
      </w:r>
      <w:r w:rsidR="006F7976">
        <w:rPr>
          <w:color w:val="000000" w:themeColor="text1"/>
          <w:shd w:val="clear" w:color="auto" w:fill="FFFFFF"/>
        </w:rPr>
        <w:t>Director of Golf Course Maintenance Operations</w:t>
      </w:r>
      <w:r w:rsidR="00D31186">
        <w:rPr>
          <w:color w:val="000000" w:themeColor="text1"/>
          <w:shd w:val="clear" w:color="auto" w:fill="FFFFFF"/>
        </w:rPr>
        <w:t xml:space="preserve"> </w:t>
      </w:r>
      <w:r w:rsidR="006F7976">
        <w:rPr>
          <w:color w:val="000000" w:themeColor="text1"/>
          <w:shd w:val="clear" w:color="auto" w:fill="FFFFFF"/>
        </w:rPr>
        <w:t xml:space="preserve">on being </w:t>
      </w:r>
      <w:r w:rsidR="00991E85">
        <w:rPr>
          <w:color w:val="000000" w:themeColor="text1"/>
          <w:shd w:val="clear" w:color="auto" w:fill="FFFFFF"/>
        </w:rPr>
        <w:t>s</w:t>
      </w:r>
      <w:r w:rsidR="006F7976">
        <w:rPr>
          <w:color w:val="000000" w:themeColor="text1"/>
          <w:shd w:val="clear" w:color="auto" w:fill="FFFFFF"/>
        </w:rPr>
        <w:t xml:space="preserve">elected to </w:t>
      </w:r>
      <w:r w:rsidR="00991E85">
        <w:rPr>
          <w:color w:val="000000" w:themeColor="text1"/>
          <w:shd w:val="clear" w:color="auto" w:fill="FFFFFF"/>
        </w:rPr>
        <w:t xml:space="preserve">join the </w:t>
      </w:r>
      <w:r w:rsidR="006F7976">
        <w:rPr>
          <w:color w:val="000000" w:themeColor="text1"/>
          <w:shd w:val="clear" w:color="auto" w:fill="FFFFFF"/>
        </w:rPr>
        <w:t xml:space="preserve">2022 </w:t>
      </w:r>
      <w:r w:rsidR="00316BB1">
        <w:rPr>
          <w:color w:val="000000" w:themeColor="text1"/>
          <w:shd w:val="clear" w:color="auto" w:fill="FFFFFF"/>
        </w:rPr>
        <w:t>C</w:t>
      </w:r>
      <w:r w:rsidR="006F7976">
        <w:rPr>
          <w:color w:val="000000" w:themeColor="text1"/>
          <w:shd w:val="clear" w:color="auto" w:fill="FFFFFF"/>
        </w:rPr>
        <w:t>lass of the Las Vegas Golf Hall of Fame</w:t>
      </w:r>
      <w:r w:rsidR="00315729">
        <w:rPr>
          <w:color w:val="000000" w:themeColor="text1"/>
          <w:shd w:val="clear" w:color="auto" w:fill="FFFFFF"/>
        </w:rPr>
        <w:t xml:space="preserve">. </w:t>
      </w:r>
      <w:r w:rsidR="006F7976">
        <w:rPr>
          <w:color w:val="000000" w:themeColor="text1"/>
          <w:shd w:val="clear" w:color="auto" w:fill="FFFFFF"/>
        </w:rPr>
        <w:t xml:space="preserve"> </w:t>
      </w:r>
    </w:p>
    <w:p w14:paraId="7E15E3E0" w14:textId="28D40057" w:rsidR="00550E57" w:rsidRPr="00E421CC" w:rsidRDefault="00550E57">
      <w:pPr>
        <w:pStyle w:val="BodyA"/>
        <w:tabs>
          <w:tab w:val="left" w:pos="5240"/>
        </w:tabs>
        <w:rPr>
          <w:color w:val="000000" w:themeColor="text1"/>
          <w:shd w:val="clear" w:color="auto" w:fill="FFFFFF"/>
        </w:rPr>
      </w:pPr>
    </w:p>
    <w:p w14:paraId="681DCCAA" w14:textId="4F83E11C" w:rsidR="00550E57" w:rsidRDefault="00721FB4">
      <w:pPr>
        <w:pStyle w:val="BodyA"/>
        <w:tabs>
          <w:tab w:val="left" w:pos="5240"/>
        </w:tabs>
        <w:rPr>
          <w:color w:val="000000" w:themeColor="text1"/>
        </w:rPr>
      </w:pPr>
      <w:r>
        <w:rPr>
          <w:color w:val="000000" w:themeColor="text1"/>
        </w:rPr>
        <w:t>T</w:t>
      </w:r>
      <w:r w:rsidR="00315729">
        <w:rPr>
          <w:color w:val="000000" w:themeColor="text1"/>
        </w:rPr>
        <w:t>he Las Vegas Golf Hall of Fame is s</w:t>
      </w:r>
      <w:r>
        <w:rPr>
          <w:color w:val="000000" w:themeColor="text1"/>
        </w:rPr>
        <w:t>et to induct Hahn on</w:t>
      </w:r>
      <w:r w:rsidR="00315729">
        <w:rPr>
          <w:color w:val="000000" w:themeColor="text1"/>
        </w:rPr>
        <w:t xml:space="preserve"> October 1 at TPC Summerlin </w:t>
      </w:r>
      <w:r w:rsidR="004F3C09">
        <w:rPr>
          <w:color w:val="000000" w:themeColor="text1"/>
        </w:rPr>
        <w:t xml:space="preserve">as the official kickoff for the </w:t>
      </w:r>
      <w:r w:rsidR="00453B09">
        <w:rPr>
          <w:color w:val="000000" w:themeColor="text1"/>
        </w:rPr>
        <w:t xml:space="preserve">PGA </w:t>
      </w:r>
      <w:r w:rsidR="004F3C09">
        <w:rPr>
          <w:color w:val="000000" w:themeColor="text1"/>
        </w:rPr>
        <w:t>TOUR</w:t>
      </w:r>
      <w:r w:rsidR="00633B73">
        <w:rPr>
          <w:color w:val="000000" w:themeColor="text1"/>
        </w:rPr>
        <w:t>’</w:t>
      </w:r>
      <w:r w:rsidR="004F3C09">
        <w:rPr>
          <w:color w:val="000000" w:themeColor="text1"/>
        </w:rPr>
        <w:t xml:space="preserve">s </w:t>
      </w:r>
      <w:r w:rsidR="00550E57" w:rsidRPr="00E421CC">
        <w:rPr>
          <w:color w:val="000000" w:themeColor="text1"/>
        </w:rPr>
        <w:t xml:space="preserve">Shriners Children’s Open </w:t>
      </w:r>
      <w:r w:rsidR="004F3C09">
        <w:rPr>
          <w:color w:val="000000" w:themeColor="text1"/>
        </w:rPr>
        <w:t xml:space="preserve">taking place </w:t>
      </w:r>
      <w:r w:rsidR="00550E57" w:rsidRPr="00E421CC">
        <w:rPr>
          <w:color w:val="000000" w:themeColor="text1"/>
        </w:rPr>
        <w:t>Oct. 3-9, 2022.</w:t>
      </w:r>
      <w:r w:rsidR="00316BB1">
        <w:rPr>
          <w:color w:val="000000" w:themeColor="text1"/>
        </w:rPr>
        <w:t xml:space="preserve"> </w:t>
      </w:r>
    </w:p>
    <w:p w14:paraId="115FE1E4" w14:textId="26699ED4" w:rsidR="006B7387" w:rsidRDefault="006B7387">
      <w:pPr>
        <w:pStyle w:val="BodyA"/>
        <w:tabs>
          <w:tab w:val="left" w:pos="5240"/>
        </w:tabs>
        <w:rPr>
          <w:color w:val="000000" w:themeColor="text1"/>
        </w:rPr>
      </w:pPr>
    </w:p>
    <w:p w14:paraId="1A8783FB" w14:textId="77777777" w:rsidR="006B7387" w:rsidRPr="00E421CC" w:rsidRDefault="006B7387" w:rsidP="006B7387">
      <w:pPr>
        <w:pStyle w:val="BodyA"/>
        <w:tabs>
          <w:tab w:val="left" w:pos="5240"/>
        </w:tabs>
        <w:rPr>
          <w:color w:val="000000" w:themeColor="text1"/>
        </w:rPr>
      </w:pPr>
      <w:r>
        <w:rPr>
          <w:color w:val="000000" w:themeColor="text1"/>
        </w:rPr>
        <w:t>“I’m honored to be elected to join such a prestigious group of trailblazers in the golf industry,” said Hahn. “This is an achievement of a lifetime, and I am very appreciative of the opportunities provided to me through my role at TPC Summerlin.”</w:t>
      </w:r>
    </w:p>
    <w:p w14:paraId="7C666294" w14:textId="7EE0D022" w:rsidR="0005617A" w:rsidRDefault="0005617A">
      <w:pPr>
        <w:pStyle w:val="BodyA"/>
        <w:tabs>
          <w:tab w:val="left" w:pos="5240"/>
        </w:tabs>
        <w:rPr>
          <w:color w:val="000000" w:themeColor="text1"/>
        </w:rPr>
      </w:pPr>
    </w:p>
    <w:p w14:paraId="119D98AC" w14:textId="125005B9" w:rsidR="0005617A" w:rsidRDefault="0005617A">
      <w:pPr>
        <w:pStyle w:val="BodyA"/>
        <w:tabs>
          <w:tab w:val="left" w:pos="5240"/>
        </w:tabs>
        <w:rPr>
          <w:color w:val="000000" w:themeColor="text1"/>
        </w:rPr>
      </w:pPr>
      <w:r>
        <w:rPr>
          <w:color w:val="000000" w:themeColor="text1"/>
        </w:rPr>
        <w:t xml:space="preserve">Before </w:t>
      </w:r>
      <w:r w:rsidR="002455D4">
        <w:rPr>
          <w:color w:val="000000" w:themeColor="text1"/>
        </w:rPr>
        <w:t>joining</w:t>
      </w:r>
      <w:r>
        <w:rPr>
          <w:color w:val="000000" w:themeColor="text1"/>
        </w:rPr>
        <w:t xml:space="preserve"> TPC Summerlin</w:t>
      </w:r>
      <w:r w:rsidR="00F26F14">
        <w:rPr>
          <w:color w:val="000000" w:themeColor="text1"/>
        </w:rPr>
        <w:t xml:space="preserve">, </w:t>
      </w:r>
      <w:r>
        <w:rPr>
          <w:color w:val="000000" w:themeColor="text1"/>
        </w:rPr>
        <w:t>Hahn was the superintendent at Morgan Run and</w:t>
      </w:r>
      <w:r w:rsidR="004D3BAD">
        <w:rPr>
          <w:color w:val="000000" w:themeColor="text1"/>
        </w:rPr>
        <w:t xml:space="preserve"> Pala Mesa Resorts</w:t>
      </w:r>
      <w:r w:rsidR="00991E85">
        <w:rPr>
          <w:color w:val="000000" w:themeColor="text1"/>
        </w:rPr>
        <w:t>.</w:t>
      </w:r>
      <w:r w:rsidR="00721FB4">
        <w:rPr>
          <w:color w:val="000000" w:themeColor="text1"/>
        </w:rPr>
        <w:t xml:space="preserve"> Th</w:t>
      </w:r>
      <w:r w:rsidR="00C13612">
        <w:rPr>
          <w:color w:val="000000" w:themeColor="text1"/>
        </w:rPr>
        <w:t>ose</w:t>
      </w:r>
      <w:r w:rsidR="00721FB4">
        <w:rPr>
          <w:color w:val="000000" w:themeColor="text1"/>
        </w:rPr>
        <w:t xml:space="preserve"> experience</w:t>
      </w:r>
      <w:r w:rsidR="00C13612">
        <w:rPr>
          <w:color w:val="000000" w:themeColor="text1"/>
        </w:rPr>
        <w:t>s</w:t>
      </w:r>
      <w:r w:rsidR="00721FB4">
        <w:rPr>
          <w:color w:val="000000" w:themeColor="text1"/>
        </w:rPr>
        <w:t xml:space="preserve"> ha</w:t>
      </w:r>
      <w:r w:rsidR="00C13612">
        <w:rPr>
          <w:color w:val="000000" w:themeColor="text1"/>
        </w:rPr>
        <w:t>ve</w:t>
      </w:r>
      <w:r w:rsidR="00721FB4">
        <w:rPr>
          <w:color w:val="000000" w:themeColor="text1"/>
        </w:rPr>
        <w:t xml:space="preserve"> helped shape </w:t>
      </w:r>
      <w:r w:rsidR="00F26F14">
        <w:rPr>
          <w:color w:val="000000" w:themeColor="text1"/>
        </w:rPr>
        <w:t xml:space="preserve">his passion for agronomy, </w:t>
      </w:r>
      <w:r w:rsidR="00C13612">
        <w:rPr>
          <w:color w:val="000000" w:themeColor="text1"/>
        </w:rPr>
        <w:t>leading to</w:t>
      </w:r>
      <w:r w:rsidR="002455D4">
        <w:rPr>
          <w:color w:val="000000" w:themeColor="text1"/>
        </w:rPr>
        <w:t xml:space="preserve"> a successful career at</w:t>
      </w:r>
      <w:r w:rsidR="00F26F14">
        <w:rPr>
          <w:color w:val="000000" w:themeColor="text1"/>
        </w:rPr>
        <w:t xml:space="preserve"> TPC Summerlin</w:t>
      </w:r>
      <w:r w:rsidR="002455D4">
        <w:rPr>
          <w:color w:val="000000" w:themeColor="text1"/>
        </w:rPr>
        <w:t xml:space="preserve">, overseeing renovations along with tournaments and preparing the course for </w:t>
      </w:r>
      <w:r w:rsidR="00C13612">
        <w:rPr>
          <w:color w:val="000000" w:themeColor="text1"/>
        </w:rPr>
        <w:t>valued</w:t>
      </w:r>
      <w:r w:rsidR="002455D4">
        <w:rPr>
          <w:color w:val="000000" w:themeColor="text1"/>
        </w:rPr>
        <w:t xml:space="preserve"> members and TOUR players. </w:t>
      </w:r>
    </w:p>
    <w:p w14:paraId="22F84CD2" w14:textId="2AA7DA20" w:rsidR="006B7387" w:rsidRDefault="006B7387">
      <w:pPr>
        <w:pStyle w:val="BodyA"/>
        <w:tabs>
          <w:tab w:val="left" w:pos="5240"/>
        </w:tabs>
        <w:rPr>
          <w:color w:val="000000" w:themeColor="text1"/>
        </w:rPr>
      </w:pPr>
    </w:p>
    <w:p w14:paraId="1AAB70FB" w14:textId="2D47B1F2" w:rsidR="006B7387" w:rsidRPr="00E421CC" w:rsidRDefault="006B7387" w:rsidP="006B7387">
      <w:pPr>
        <w:pStyle w:val="BodyA"/>
        <w:tabs>
          <w:tab w:val="left" w:pos="5240"/>
        </w:tabs>
        <w:rPr>
          <w:color w:val="000000" w:themeColor="text1"/>
          <w:shd w:val="clear" w:color="auto" w:fill="FFFFFF"/>
        </w:rPr>
      </w:pPr>
      <w:r>
        <w:rPr>
          <w:color w:val="000000" w:themeColor="text1"/>
          <w:shd w:val="clear" w:color="auto" w:fill="FFFFFF"/>
        </w:rPr>
        <w:t>“We’re so lucky to have had someone like Dale lead our agronomy team for the past two decades</w:t>
      </w:r>
      <w:r w:rsidR="002B529E">
        <w:rPr>
          <w:color w:val="000000" w:themeColor="text1"/>
          <w:shd w:val="clear" w:color="auto" w:fill="FFFFFF"/>
        </w:rPr>
        <w:t>,</w:t>
      </w:r>
      <w:r>
        <w:rPr>
          <w:color w:val="000000" w:themeColor="text1"/>
          <w:shd w:val="clear" w:color="auto" w:fill="FFFFFF"/>
        </w:rPr>
        <w:t xml:space="preserve">” said Brian Hawthorne, </w:t>
      </w:r>
      <w:r w:rsidR="00BE163B">
        <w:rPr>
          <w:color w:val="000000" w:themeColor="text1"/>
          <w:shd w:val="clear" w:color="auto" w:fill="FFFFFF"/>
        </w:rPr>
        <w:t xml:space="preserve">TPC Summerlin’s </w:t>
      </w:r>
      <w:r w:rsidR="002B529E">
        <w:rPr>
          <w:color w:val="000000" w:themeColor="text1"/>
          <w:shd w:val="clear" w:color="auto" w:fill="FFFFFF"/>
        </w:rPr>
        <w:t>General Manager</w:t>
      </w:r>
      <w:r>
        <w:rPr>
          <w:color w:val="000000" w:themeColor="text1"/>
          <w:shd w:val="clear" w:color="auto" w:fill="FFFFFF"/>
        </w:rPr>
        <w:t xml:space="preserve">. “He’s extremely deserving of being elected to the Las Vegas Golf Hall of Fame and has been vital to the operations here at TPC Summerlin.” </w:t>
      </w:r>
    </w:p>
    <w:p w14:paraId="3AB9F85E" w14:textId="77777777" w:rsidR="00550E57" w:rsidRPr="00E421CC" w:rsidRDefault="00550E57">
      <w:pPr>
        <w:pStyle w:val="BodyA"/>
        <w:tabs>
          <w:tab w:val="left" w:pos="5240"/>
        </w:tabs>
        <w:rPr>
          <w:color w:val="000000" w:themeColor="text1"/>
          <w:shd w:val="clear" w:color="auto" w:fill="FFFFFF"/>
        </w:rPr>
      </w:pPr>
    </w:p>
    <w:p w14:paraId="15227A1E" w14:textId="5564865C" w:rsidR="0068381B" w:rsidRPr="00E421CC" w:rsidRDefault="00316BB1">
      <w:pPr>
        <w:pStyle w:val="BodyA"/>
        <w:tabs>
          <w:tab w:val="left" w:pos="5240"/>
        </w:tabs>
        <w:rPr>
          <w:color w:val="000000" w:themeColor="text1"/>
          <w:shd w:val="clear" w:color="auto" w:fill="FFFFFF"/>
        </w:rPr>
      </w:pPr>
      <w:r>
        <w:rPr>
          <w:color w:val="000000" w:themeColor="text1"/>
          <w:shd w:val="clear" w:color="auto" w:fill="FFFFFF"/>
        </w:rPr>
        <w:t>Since 1991</w:t>
      </w:r>
      <w:r w:rsidR="00914FF2">
        <w:rPr>
          <w:color w:val="000000" w:themeColor="text1"/>
          <w:shd w:val="clear" w:color="auto" w:fill="FFFFFF"/>
        </w:rPr>
        <w:t>,</w:t>
      </w:r>
      <w:r>
        <w:rPr>
          <w:color w:val="000000" w:themeColor="text1"/>
          <w:shd w:val="clear" w:color="auto" w:fill="FFFFFF"/>
        </w:rPr>
        <w:t xml:space="preserve"> the Las Vegas Hall of Fame has inducted </w:t>
      </w:r>
      <w:r w:rsidR="00914FF2">
        <w:rPr>
          <w:color w:val="000000" w:themeColor="text1"/>
          <w:shd w:val="clear" w:color="auto" w:fill="FFFFFF"/>
        </w:rPr>
        <w:t>61 members</w:t>
      </w:r>
      <w:r w:rsidR="00FF1F57">
        <w:rPr>
          <w:color w:val="000000" w:themeColor="text1"/>
          <w:shd w:val="clear" w:color="auto" w:fill="FFFFFF"/>
        </w:rPr>
        <w:t xml:space="preserve"> </w:t>
      </w:r>
      <w:r w:rsidR="00914FF2">
        <w:rPr>
          <w:color w:val="000000" w:themeColor="text1"/>
          <w:shd w:val="clear" w:color="auto" w:fill="FFFFFF"/>
        </w:rPr>
        <w:t xml:space="preserve">- </w:t>
      </w:r>
      <w:r w:rsidR="00FF1F57">
        <w:rPr>
          <w:color w:val="000000" w:themeColor="text1"/>
          <w:shd w:val="clear" w:color="auto" w:fill="FFFFFF"/>
        </w:rPr>
        <w:t>of those</w:t>
      </w:r>
      <w:r w:rsidR="00914FF2">
        <w:rPr>
          <w:color w:val="000000" w:themeColor="text1"/>
          <w:shd w:val="clear" w:color="auto" w:fill="FFFFFF"/>
        </w:rPr>
        <w:t>,</w:t>
      </w:r>
      <w:r w:rsidR="00FF1F57">
        <w:rPr>
          <w:color w:val="000000" w:themeColor="text1"/>
          <w:shd w:val="clear" w:color="auto" w:fill="FFFFFF"/>
        </w:rPr>
        <w:t xml:space="preserve"> 13 were </w:t>
      </w:r>
      <w:r w:rsidR="00EC12F5">
        <w:rPr>
          <w:color w:val="000000" w:themeColor="text1"/>
          <w:shd w:val="clear" w:color="auto" w:fill="FFFFFF"/>
        </w:rPr>
        <w:t>c</w:t>
      </w:r>
      <w:r w:rsidR="00FF1F57">
        <w:rPr>
          <w:color w:val="000000" w:themeColor="text1"/>
          <w:shd w:val="clear" w:color="auto" w:fill="FFFFFF"/>
        </w:rPr>
        <w:t xml:space="preserve">lub professionals and </w:t>
      </w:r>
      <w:r w:rsidR="00EC12F5">
        <w:rPr>
          <w:color w:val="000000" w:themeColor="text1"/>
          <w:shd w:val="clear" w:color="auto" w:fill="FFFFFF"/>
        </w:rPr>
        <w:t>two were golf course superintendents</w:t>
      </w:r>
      <w:r w:rsidR="00FF1F57">
        <w:rPr>
          <w:color w:val="000000" w:themeColor="text1"/>
          <w:shd w:val="clear" w:color="auto" w:fill="FFFFFF"/>
        </w:rPr>
        <w:t xml:space="preserve">. </w:t>
      </w:r>
      <w:r w:rsidR="0077090C">
        <w:rPr>
          <w:color w:val="000000" w:themeColor="text1"/>
          <w:shd w:val="clear" w:color="auto" w:fill="FFFFFF"/>
        </w:rPr>
        <w:t xml:space="preserve">For this year’s Class of 2022, </w:t>
      </w:r>
      <w:r w:rsidR="00090D37">
        <w:rPr>
          <w:color w:val="000000" w:themeColor="text1"/>
          <w:shd w:val="clear" w:color="auto" w:fill="FFFFFF"/>
        </w:rPr>
        <w:t xml:space="preserve">Hahn </w:t>
      </w:r>
      <w:r w:rsidR="0005617A">
        <w:rPr>
          <w:color w:val="000000" w:themeColor="text1"/>
          <w:shd w:val="clear" w:color="auto" w:fill="FFFFFF"/>
        </w:rPr>
        <w:t>was s</w:t>
      </w:r>
      <w:r w:rsidR="00FF1F57">
        <w:rPr>
          <w:color w:val="000000" w:themeColor="text1"/>
          <w:shd w:val="clear" w:color="auto" w:fill="FFFFFF"/>
        </w:rPr>
        <w:t xml:space="preserve">elected </w:t>
      </w:r>
      <w:r w:rsidR="0005617A">
        <w:rPr>
          <w:color w:val="000000" w:themeColor="text1"/>
          <w:shd w:val="clear" w:color="auto" w:fill="FFFFFF"/>
        </w:rPr>
        <w:t xml:space="preserve">out of </w:t>
      </w:r>
      <w:r w:rsidR="00FF1F57">
        <w:rPr>
          <w:color w:val="000000" w:themeColor="text1"/>
          <w:shd w:val="clear" w:color="auto" w:fill="FFFFFF"/>
        </w:rPr>
        <w:t>80 individuals and organizations</w:t>
      </w:r>
      <w:r w:rsidR="0005617A">
        <w:rPr>
          <w:color w:val="000000" w:themeColor="text1"/>
          <w:shd w:val="clear" w:color="auto" w:fill="FFFFFF"/>
        </w:rPr>
        <w:t xml:space="preserve"> in Las Vegas</w:t>
      </w:r>
      <w:r w:rsidR="00991E85">
        <w:rPr>
          <w:color w:val="000000" w:themeColor="text1"/>
          <w:shd w:val="clear" w:color="auto" w:fill="FFFFFF"/>
        </w:rPr>
        <w:t xml:space="preserve"> by</w:t>
      </w:r>
      <w:r w:rsidR="0005617A">
        <w:rPr>
          <w:color w:val="000000" w:themeColor="text1"/>
          <w:shd w:val="clear" w:color="auto" w:fill="FFFFFF"/>
        </w:rPr>
        <w:t xml:space="preserve"> </w:t>
      </w:r>
      <w:r w:rsidR="00FF1F57">
        <w:rPr>
          <w:color w:val="000000" w:themeColor="text1"/>
          <w:shd w:val="clear" w:color="auto" w:fill="FFFFFF"/>
        </w:rPr>
        <w:t>the Hall of Fame selection committee</w:t>
      </w:r>
      <w:r w:rsidR="00914FF2">
        <w:rPr>
          <w:color w:val="000000" w:themeColor="text1"/>
          <w:shd w:val="clear" w:color="auto" w:fill="FFFFFF"/>
        </w:rPr>
        <w:t xml:space="preserve"> </w:t>
      </w:r>
      <w:r w:rsidR="00991E85">
        <w:rPr>
          <w:color w:val="000000" w:themeColor="text1"/>
          <w:shd w:val="clear" w:color="auto" w:fill="FFFFFF"/>
        </w:rPr>
        <w:t xml:space="preserve">who </w:t>
      </w:r>
      <w:r w:rsidR="00FF1F57">
        <w:rPr>
          <w:color w:val="000000" w:themeColor="text1"/>
          <w:shd w:val="clear" w:color="auto" w:fill="FFFFFF"/>
        </w:rPr>
        <w:t>meets six times a year to have open discussion</w:t>
      </w:r>
      <w:r w:rsidR="007319DC">
        <w:rPr>
          <w:color w:val="000000" w:themeColor="text1"/>
          <w:shd w:val="clear" w:color="auto" w:fill="FFFFFF"/>
        </w:rPr>
        <w:t xml:space="preserve">s </w:t>
      </w:r>
      <w:r w:rsidR="00FF1F57">
        <w:rPr>
          <w:color w:val="000000" w:themeColor="text1"/>
          <w:shd w:val="clear" w:color="auto" w:fill="FFFFFF"/>
        </w:rPr>
        <w:t>about each nominee</w:t>
      </w:r>
      <w:r w:rsidR="0005617A">
        <w:rPr>
          <w:color w:val="000000" w:themeColor="text1"/>
          <w:shd w:val="clear" w:color="auto" w:fill="FFFFFF"/>
        </w:rPr>
        <w:t xml:space="preserve"> and their impact on the community</w:t>
      </w:r>
      <w:r w:rsidR="00FF1F57">
        <w:rPr>
          <w:color w:val="000000" w:themeColor="text1"/>
          <w:shd w:val="clear" w:color="auto" w:fill="FFFFFF"/>
        </w:rPr>
        <w:t xml:space="preserve">. </w:t>
      </w:r>
    </w:p>
    <w:p w14:paraId="7618CDCD" w14:textId="309C2E4E" w:rsidR="00044158" w:rsidRPr="00E421CC" w:rsidRDefault="00044158">
      <w:pPr>
        <w:pStyle w:val="BodyA"/>
        <w:tabs>
          <w:tab w:val="left" w:pos="5240"/>
        </w:tabs>
        <w:rPr>
          <w:color w:val="000000" w:themeColor="text1"/>
        </w:rPr>
      </w:pPr>
    </w:p>
    <w:p w14:paraId="1571B93F" w14:textId="74368400" w:rsidR="00E421CC" w:rsidRPr="00E421CC" w:rsidRDefault="00E17E95" w:rsidP="00E421CC">
      <w:pPr>
        <w:pStyle w:val="BodyA"/>
        <w:tabs>
          <w:tab w:val="left" w:pos="5240"/>
        </w:tabs>
        <w:rPr>
          <w:color w:val="000000" w:themeColor="text1"/>
        </w:rPr>
      </w:pPr>
      <w:r>
        <w:rPr>
          <w:color w:val="000000" w:themeColor="text1"/>
        </w:rPr>
        <w:t xml:space="preserve">“We don’t want to award someone for </w:t>
      </w:r>
      <w:r w:rsidR="004F4825">
        <w:rPr>
          <w:color w:val="000000" w:themeColor="text1"/>
        </w:rPr>
        <w:t xml:space="preserve">just </w:t>
      </w:r>
      <w:r>
        <w:rPr>
          <w:color w:val="000000" w:themeColor="text1"/>
        </w:rPr>
        <w:t>doing their job</w:t>
      </w:r>
      <w:r w:rsidR="00EC12F5">
        <w:rPr>
          <w:color w:val="000000" w:themeColor="text1"/>
        </w:rPr>
        <w:t>,” said</w:t>
      </w:r>
      <w:r w:rsidR="00E6136F">
        <w:rPr>
          <w:color w:val="000000" w:themeColor="text1"/>
        </w:rPr>
        <w:t xml:space="preserve"> Joe Kelly</w:t>
      </w:r>
      <w:r w:rsidR="00FF1F57">
        <w:rPr>
          <w:color w:val="000000" w:themeColor="text1"/>
        </w:rPr>
        <w:t xml:space="preserve">, </w:t>
      </w:r>
      <w:r w:rsidR="00E6136F">
        <w:rPr>
          <w:color w:val="000000" w:themeColor="text1"/>
        </w:rPr>
        <w:t>President</w:t>
      </w:r>
      <w:r w:rsidR="00FF1F57">
        <w:rPr>
          <w:color w:val="000000" w:themeColor="text1"/>
        </w:rPr>
        <w:t xml:space="preserve"> of the</w:t>
      </w:r>
      <w:r w:rsidR="00E6136F">
        <w:rPr>
          <w:color w:val="000000" w:themeColor="text1"/>
        </w:rPr>
        <w:t xml:space="preserve"> Las Vegas Golf Hall of Fame. “We</w:t>
      </w:r>
      <w:r>
        <w:rPr>
          <w:color w:val="000000" w:themeColor="text1"/>
        </w:rPr>
        <w:t xml:space="preserve"> want</w:t>
      </w:r>
      <w:r w:rsidR="00E6136F">
        <w:rPr>
          <w:color w:val="000000" w:themeColor="text1"/>
        </w:rPr>
        <w:t xml:space="preserve"> to honor individuals that do an outstanding job, making a difference in the community outside of work and are involved in their organization. We are pleased to honor someone whose </w:t>
      </w:r>
      <w:r w:rsidR="00316BB1">
        <w:rPr>
          <w:color w:val="000000" w:themeColor="text1"/>
        </w:rPr>
        <w:t>golf facility</w:t>
      </w:r>
      <w:r w:rsidR="00E6136F">
        <w:rPr>
          <w:color w:val="000000" w:themeColor="text1"/>
        </w:rPr>
        <w:t xml:space="preserve"> is proud to have them represent their club and Dale Hahn checks all those boxes.”</w:t>
      </w:r>
    </w:p>
    <w:p w14:paraId="118A91DC" w14:textId="77777777" w:rsidR="00E421CC" w:rsidRPr="00E421CC" w:rsidRDefault="00E421CC" w:rsidP="00E421CC">
      <w:pPr>
        <w:pStyle w:val="BodyA"/>
        <w:tabs>
          <w:tab w:val="left" w:pos="5240"/>
        </w:tabs>
        <w:rPr>
          <w:color w:val="000000" w:themeColor="text1"/>
        </w:rPr>
      </w:pPr>
    </w:p>
    <w:p w14:paraId="66592E59" w14:textId="729525B5" w:rsidR="00090427" w:rsidRPr="00B23189" w:rsidRDefault="008B1102" w:rsidP="00090427">
      <w:pPr>
        <w:pStyle w:val="Heading"/>
        <w:rPr>
          <w:rFonts w:ascii="Cambria" w:eastAsia="Cambria" w:hAnsi="Cambria" w:cs="Cambria"/>
          <w:color w:val="000000"/>
          <w:sz w:val="24"/>
          <w:szCs w:val="24"/>
          <w:u w:color="000000"/>
        </w:rPr>
      </w:pPr>
      <w:r w:rsidRPr="00B23189">
        <w:rPr>
          <w:rFonts w:ascii="Cambria" w:eastAsia="Cambria" w:hAnsi="Cambria" w:cs="Cambria"/>
          <w:color w:val="000000"/>
          <w:sz w:val="24"/>
          <w:szCs w:val="24"/>
          <w:u w:color="000000"/>
        </w:rPr>
        <w:lastRenderedPageBreak/>
        <w:t xml:space="preserve">To learn more about </w:t>
      </w:r>
      <w:r w:rsidR="00CE2950" w:rsidRPr="00B23189">
        <w:rPr>
          <w:rFonts w:ascii="Cambria" w:eastAsia="Cambria" w:hAnsi="Cambria" w:cs="Cambria"/>
          <w:color w:val="000000"/>
          <w:sz w:val="24"/>
          <w:szCs w:val="24"/>
          <w:u w:color="000000"/>
        </w:rPr>
        <w:t xml:space="preserve">TPC </w:t>
      </w:r>
      <w:r w:rsidR="008676E1" w:rsidRPr="00B23189">
        <w:rPr>
          <w:rFonts w:ascii="Cambria" w:eastAsia="Cambria" w:hAnsi="Cambria" w:cs="Cambria"/>
          <w:color w:val="000000"/>
          <w:sz w:val="24"/>
          <w:szCs w:val="24"/>
          <w:u w:color="000000"/>
        </w:rPr>
        <w:t>Summerlin</w:t>
      </w:r>
      <w:r w:rsidRPr="00B23189">
        <w:rPr>
          <w:rFonts w:ascii="Cambria" w:eastAsia="Cambria" w:hAnsi="Cambria" w:cs="Cambria"/>
          <w:color w:val="000000"/>
          <w:sz w:val="24"/>
          <w:szCs w:val="24"/>
          <w:u w:color="000000"/>
        </w:rPr>
        <w:t xml:space="preserve">, please visit </w:t>
      </w:r>
      <w:hyperlink r:id="rId8" w:history="1">
        <w:r w:rsidR="00090427" w:rsidRPr="00B23189">
          <w:rPr>
            <w:rStyle w:val="Hyperlink"/>
            <w:rFonts w:ascii="Cambria" w:eastAsia="Cambria" w:hAnsi="Cambria" w:cs="Cambria"/>
            <w:sz w:val="24"/>
            <w:szCs w:val="24"/>
          </w:rPr>
          <w:t>www.</w:t>
        </w:r>
        <w:r w:rsidR="00090427" w:rsidRPr="00B23189">
          <w:rPr>
            <w:rStyle w:val="Hyperlink"/>
            <w:rFonts w:ascii="Cambria" w:eastAsia="Cambria" w:hAnsi="Cambria" w:cs="Cambria"/>
            <w:sz w:val="24"/>
            <w:szCs w:val="24"/>
            <w:lang w:val="it-IT"/>
          </w:rPr>
          <w:t>tpc.com/summerlin</w:t>
        </w:r>
      </w:hyperlink>
      <w:r w:rsidRPr="00B23189">
        <w:rPr>
          <w:rFonts w:ascii="Cambria" w:eastAsia="Cambria" w:hAnsi="Cambria" w:cs="Cambria"/>
          <w:color w:val="000000"/>
          <w:sz w:val="24"/>
          <w:szCs w:val="24"/>
          <w:u w:color="000000"/>
        </w:rPr>
        <w:t>.</w:t>
      </w:r>
    </w:p>
    <w:p w14:paraId="5ED489FD" w14:textId="77777777" w:rsidR="00EE6BC4" w:rsidRPr="00B23189" w:rsidRDefault="00EE6BC4" w:rsidP="00090427">
      <w:pPr>
        <w:pStyle w:val="Heading"/>
        <w:rPr>
          <w:rFonts w:ascii="Cambria" w:eastAsia="Cambria" w:hAnsi="Cambria" w:cs="Cambria"/>
          <w:color w:val="000000"/>
          <w:sz w:val="24"/>
          <w:szCs w:val="24"/>
          <w:u w:color="000000"/>
        </w:rPr>
      </w:pPr>
    </w:p>
    <w:p w14:paraId="396229DE" w14:textId="69399167" w:rsidR="00C7477F" w:rsidRDefault="008B1102" w:rsidP="00C7477F">
      <w:pPr>
        <w:pStyle w:val="BodyA"/>
        <w:jc w:val="center"/>
      </w:pPr>
      <w:r w:rsidRPr="00B23189">
        <w:t>###</w:t>
      </w:r>
    </w:p>
    <w:p w14:paraId="71079FF1" w14:textId="77777777" w:rsidR="00C7477F" w:rsidRPr="00B23189" w:rsidRDefault="00C7477F" w:rsidP="005F06C5">
      <w:pPr>
        <w:pStyle w:val="BodyA"/>
        <w:jc w:val="center"/>
      </w:pPr>
    </w:p>
    <w:p w14:paraId="44A3CB3F" w14:textId="28809DFC" w:rsidR="00C7477F" w:rsidRDefault="00C7477F" w:rsidP="00E34DE7">
      <w:pPr>
        <w:jc w:val="both"/>
        <w:rPr>
          <w:rFonts w:ascii="Cambria" w:hAnsi="Cambria" w:cs="Arial Unicode MS"/>
          <w:b/>
          <w:bCs/>
          <w:color w:val="000000"/>
          <w:u w:val="single" w:color="000000"/>
          <w14:textOutline w14:w="12700" w14:cap="flat" w14:cmpd="sng" w14:algn="ctr">
            <w14:noFill/>
            <w14:prstDash w14:val="solid"/>
            <w14:miter w14:lim="400000"/>
          </w14:textOutline>
        </w:rPr>
      </w:pPr>
      <w:r>
        <w:rPr>
          <w:rFonts w:ascii="Cambria" w:hAnsi="Cambria" w:cs="Arial Unicode MS"/>
          <w:b/>
          <w:bCs/>
          <w:color w:val="000000"/>
          <w:u w:val="single" w:color="000000"/>
          <w14:textOutline w14:w="12700" w14:cap="flat" w14:cmpd="sng" w14:algn="ctr">
            <w14:noFill/>
            <w14:prstDash w14:val="solid"/>
            <w14:miter w14:lim="400000"/>
          </w14:textOutline>
        </w:rPr>
        <w:t>About TPC Summerlin</w:t>
      </w:r>
    </w:p>
    <w:p w14:paraId="210CA761" w14:textId="77777777" w:rsidR="00C7477F" w:rsidRPr="00E421CC" w:rsidRDefault="00C7477F" w:rsidP="00C7477F">
      <w:pPr>
        <w:pStyle w:val="BodyA"/>
        <w:tabs>
          <w:tab w:val="left" w:pos="5240"/>
        </w:tabs>
        <w:rPr>
          <w:color w:val="000000" w:themeColor="text1"/>
        </w:rPr>
      </w:pPr>
      <w:r w:rsidRPr="00E421CC">
        <w:rPr>
          <w:color w:val="000000" w:themeColor="text1"/>
        </w:rPr>
        <w:t xml:space="preserve">Named by </w:t>
      </w:r>
      <w:r w:rsidRPr="00A40C2F">
        <w:rPr>
          <w:i/>
          <w:iCs/>
          <w:color w:val="000000" w:themeColor="text1"/>
        </w:rPr>
        <w:t>Golf Digest</w:t>
      </w:r>
      <w:r w:rsidRPr="00E421CC">
        <w:rPr>
          <w:color w:val="000000" w:themeColor="text1"/>
        </w:rPr>
        <w:t xml:space="preserve"> as “One of America’s Best Golf Courses,” TPC Summerlin and its championship layout continue to redefine the private golf club membership experience in Las Vegas. The par-72, 7,243-yard golf course’s layout was carved from a magnificent swath of rugged desert terrain by renowned golf course architect Bobby Weed which meanders through arroyos and canyons, with striking flora, numerous water features, an abundance of honey mesquite and pine trees contrasting dramatically with undisturbed desert washes – creating one of the most visually stunning tests of golf in Nevada. TPC Summerlin’s golf, amenities and exceptional member benefits make it one of the most coveted private clubs in Nevada where members enjoy a sense of community, camaraderie and belonging that come with participation in exclusive members-only golf and social events throughout the year. </w:t>
      </w:r>
    </w:p>
    <w:p w14:paraId="0666A561" w14:textId="77777777" w:rsidR="00C7477F" w:rsidRDefault="00C7477F" w:rsidP="00E34DE7">
      <w:pPr>
        <w:jc w:val="both"/>
        <w:rPr>
          <w:rFonts w:ascii="Cambria" w:hAnsi="Cambria" w:cs="Arial Unicode MS"/>
          <w:b/>
          <w:bCs/>
          <w:color w:val="000000"/>
          <w:u w:val="single" w:color="000000"/>
          <w14:textOutline w14:w="12700" w14:cap="flat" w14:cmpd="sng" w14:algn="ctr">
            <w14:noFill/>
            <w14:prstDash w14:val="solid"/>
            <w14:miter w14:lim="400000"/>
          </w14:textOutline>
        </w:rPr>
      </w:pPr>
    </w:p>
    <w:p w14:paraId="2483048C" w14:textId="5AB900F5" w:rsidR="00E34DE7" w:rsidRPr="009A4C86" w:rsidRDefault="00E34DE7" w:rsidP="00E34DE7">
      <w:pPr>
        <w:jc w:val="both"/>
        <w:rPr>
          <w:rFonts w:ascii="Cambria" w:hAnsi="Cambria" w:cs="Arial Unicode MS"/>
          <w:b/>
          <w:bCs/>
          <w:color w:val="000000"/>
          <w:u w:val="single" w:color="000000"/>
          <w14:textOutline w14:w="12700" w14:cap="flat" w14:cmpd="sng" w14:algn="ctr">
            <w14:noFill/>
            <w14:prstDash w14:val="solid"/>
            <w14:miter w14:lim="400000"/>
          </w14:textOutline>
        </w:rPr>
      </w:pPr>
      <w:r w:rsidRPr="009A4C86">
        <w:rPr>
          <w:rFonts w:ascii="Cambria" w:hAnsi="Cambria" w:cs="Arial Unicode MS"/>
          <w:b/>
          <w:bCs/>
          <w:color w:val="000000"/>
          <w:u w:val="single" w:color="000000"/>
          <w14:textOutline w14:w="12700" w14:cap="flat" w14:cmpd="sng" w14:algn="ctr">
            <w14:noFill/>
            <w14:prstDash w14:val="solid"/>
            <w14:miter w14:lim="400000"/>
          </w14:textOutline>
        </w:rPr>
        <w:t>About the TPC Network</w:t>
      </w:r>
    </w:p>
    <w:p w14:paraId="51523225" w14:textId="77777777" w:rsidR="00E34DE7" w:rsidRPr="009A4C86" w:rsidRDefault="00E34DE7" w:rsidP="00E34DE7">
      <w:pPr>
        <w:rPr>
          <w:rFonts w:ascii="Cambria" w:hAnsi="Cambria" w:cs="Arial Unicode MS"/>
          <w:color w:val="000000"/>
          <w:u w:color="000000"/>
          <w14:textOutline w14:w="12700" w14:cap="flat" w14:cmpd="sng" w14:algn="ctr">
            <w14:noFill/>
            <w14:prstDash w14:val="solid"/>
            <w14:miter w14:lim="400000"/>
          </w14:textOutline>
        </w:rPr>
      </w:pPr>
      <w:r w:rsidRPr="009A4C86">
        <w:rPr>
          <w:rFonts w:ascii="Cambria" w:hAnsi="Cambria" w:cs="Arial Unicode MS"/>
          <w:color w:val="000000"/>
          <w:u w:color="000000"/>
          <w14:textOutline w14:w="12700" w14:cap="flat" w14:cmpd="sng" w14:algn="ctr">
            <w14:noFill/>
            <w14:prstDash w14:val="solid"/>
            <w14:miter w14:lim="400000"/>
          </w14:textOutline>
        </w:rPr>
        <w:t xml:space="preserve">Owned, operated, and licensed by the PGA TOUR, the TPC Network is comprised of 30 premier private, resort and daily fee golf properties designed by some of golf’s most elite architects. </w:t>
      </w:r>
      <w:r w:rsidRPr="00BB49BA">
        <w:rPr>
          <w:rFonts w:ascii="Cambria" w:hAnsi="Cambria" w:cs="Arial Unicode MS"/>
          <w:u w:color="000000"/>
          <w14:textOutline w14:w="12700" w14:cap="flat" w14:cmpd="sng" w14:algn="ctr">
            <w14:noFill/>
            <w14:prstDash w14:val="solid"/>
            <w14:miter w14:lim="400000"/>
          </w14:textOutline>
        </w:rPr>
        <w:t xml:space="preserve">Seventeen </w:t>
      </w:r>
      <w:r w:rsidRPr="009A4C86">
        <w:rPr>
          <w:rFonts w:ascii="Cambria" w:hAnsi="Cambria" w:cs="Arial Unicode MS"/>
          <w:color w:val="000000"/>
          <w:u w:color="000000"/>
          <w14:textOutline w14:w="12700" w14:cap="flat" w14:cmpd="sng" w14:algn="ctr">
            <w14:noFill/>
            <w14:prstDash w14:val="solid"/>
            <w14:miter w14:lim="400000"/>
          </w14:textOutline>
        </w:rPr>
        <w:t>of the clubs are operated by affiliates of PGA TOUR Golf Course Properties, Inc. Each TPC has hosted or has been designed to host TOUR-sponsored golf tournaments. Since TPC Sawgrass first opened its world-renowned PLAYERS Stadium Course in the fall of 1980, TPCs have provided the PGA TOUR with rent-free venues for tournaments, helping to boost championship golf purses and increasing charitable donations to grass roots non-profit organizations. At the same time, TPCs have provided recreational golfers with the unique opportunity to test their skills on the same layouts where the world’s best golfers compete.</w:t>
      </w:r>
    </w:p>
    <w:p w14:paraId="595A93A0" w14:textId="77777777" w:rsidR="00E34DE7" w:rsidRPr="009A4C86" w:rsidRDefault="00E34DE7" w:rsidP="00E34DE7">
      <w:pPr>
        <w:rPr>
          <w:rFonts w:ascii="Cambria" w:hAnsi="Cambria" w:cs="Arial Unicode MS"/>
          <w:color w:val="000000"/>
          <w:u w:color="000000"/>
          <w14:textOutline w14:w="12700" w14:cap="flat" w14:cmpd="sng" w14:algn="ctr">
            <w14:noFill/>
            <w14:prstDash w14:val="solid"/>
            <w14:miter w14:lim="400000"/>
          </w14:textOutline>
        </w:rPr>
      </w:pPr>
      <w:r w:rsidRPr="009A4C86">
        <w:rPr>
          <w:rFonts w:ascii="Cambria" w:hAnsi="Cambria" w:cs="Arial Unicode MS"/>
          <w:color w:val="000000"/>
          <w:u w:color="000000"/>
          <w14:textOutline w14:w="12700" w14:cap="flat" w14:cmpd="sng" w14:algn="ctr">
            <w14:noFill/>
            <w14:prstDash w14:val="solid"/>
            <w14:miter w14:lim="400000"/>
          </w14:textOutline>
        </w:rPr>
        <w:t> </w:t>
      </w:r>
    </w:p>
    <w:p w14:paraId="02DE4755" w14:textId="77777777" w:rsidR="00E34DE7" w:rsidRPr="009A4C86" w:rsidRDefault="00E34DE7" w:rsidP="00E34DE7">
      <w:pPr>
        <w:rPr>
          <w:rFonts w:ascii="Cambria" w:hAnsi="Cambria" w:cs="Arial Unicode MS"/>
          <w:color w:val="000000"/>
          <w:u w:color="000000"/>
          <w14:textOutline w14:w="12700" w14:cap="flat" w14:cmpd="sng" w14:algn="ctr">
            <w14:noFill/>
            <w14:prstDash w14:val="solid"/>
            <w14:miter w14:lim="400000"/>
          </w14:textOutline>
        </w:rPr>
      </w:pPr>
      <w:r w:rsidRPr="009A4C86">
        <w:rPr>
          <w:rFonts w:ascii="Cambria" w:hAnsi="Cambria" w:cs="Arial Unicode MS"/>
          <w:color w:val="000000"/>
          <w:u w:color="000000"/>
          <w14:textOutline w14:w="12700" w14:cap="flat" w14:cmpd="sng" w14:algn="ctr">
            <w14:noFill/>
            <w14:prstDash w14:val="solid"/>
            <w14:miter w14:lim="400000"/>
          </w14:textOutline>
        </w:rPr>
        <w:t xml:space="preserve">TPCs are known for their history of hosting PGA TOUR-sponsored golf tournaments, their outstanding conditioning and amenities, as well as a commitment to environmental excellence. The TPC Network is also distinguished by its unwavering commitment to further the PGA TOUR’s giving back mission through </w:t>
      </w:r>
      <w:r w:rsidRPr="00EC1BB8">
        <w:rPr>
          <w:rFonts w:ascii="Cambria" w:hAnsi="Cambria" w:cs="Arial Unicode MS"/>
          <w:color w:val="000000"/>
          <w:u w:color="000000"/>
          <w14:textOutline w14:w="12700" w14:cap="flat" w14:cmpd="sng" w14:algn="ctr">
            <w14:noFill/>
            <w14:prstDash w14:val="solid"/>
            <w14:miter w14:lim="400000"/>
          </w14:textOutline>
        </w:rPr>
        <w:t>support of charitable and grass-roots programs.</w:t>
      </w:r>
      <w:r w:rsidRPr="009A4C86">
        <w:rPr>
          <w:rFonts w:ascii="Cambria" w:hAnsi="Cambria" w:cs="Arial Unicode MS"/>
          <w:color w:val="000000"/>
          <w:u w:color="000000"/>
          <w14:textOutline w14:w="12700" w14:cap="flat" w14:cmpd="sng" w14:algn="ctr">
            <w14:noFill/>
            <w14:prstDash w14:val="solid"/>
            <w14:miter w14:lim="400000"/>
          </w14:textOutline>
        </w:rPr>
        <w:t xml:space="preserve"> For more information, please visit www.tpc.com. For the most up-to-date news, follow the TPC Network on Twitter (@PlayTPC), Instagram (@PlayTPC) or Facebook.com/TPCNetwork.</w:t>
      </w:r>
    </w:p>
    <w:p w14:paraId="0C2F6D15" w14:textId="77777777" w:rsidR="0068381B" w:rsidRPr="00B23189" w:rsidRDefault="0068381B">
      <w:pPr>
        <w:pStyle w:val="BodyA"/>
      </w:pPr>
    </w:p>
    <w:p w14:paraId="1278661F" w14:textId="77777777" w:rsidR="0068381B" w:rsidRPr="00B23189" w:rsidRDefault="008B1102">
      <w:pPr>
        <w:pStyle w:val="BodyA"/>
      </w:pPr>
      <w:r w:rsidRPr="00B23189">
        <w:t xml:space="preserve"> </w:t>
      </w:r>
    </w:p>
    <w:sectPr w:rsidR="0068381B" w:rsidRPr="00B23189" w:rsidSect="00584FB2">
      <w:headerReference w:type="default" r:id="rId9"/>
      <w:footerReference w:type="default" r:id="rId10"/>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E359" w14:textId="77777777" w:rsidR="00485061" w:rsidRDefault="00485061">
      <w:r>
        <w:separator/>
      </w:r>
    </w:p>
  </w:endnote>
  <w:endnote w:type="continuationSeparator" w:id="0">
    <w:p w14:paraId="17B64B7E" w14:textId="77777777" w:rsidR="00485061" w:rsidRDefault="0048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876C" w14:textId="77777777" w:rsidR="0068381B" w:rsidRDefault="0068381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71F9" w14:textId="77777777" w:rsidR="00485061" w:rsidRDefault="00485061">
      <w:r>
        <w:separator/>
      </w:r>
    </w:p>
  </w:footnote>
  <w:footnote w:type="continuationSeparator" w:id="0">
    <w:p w14:paraId="030EACB8" w14:textId="77777777" w:rsidR="00485061" w:rsidRDefault="0048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C2F4" w14:textId="77777777" w:rsidR="0068381B" w:rsidRDefault="0068381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1B"/>
    <w:rsid w:val="00006D56"/>
    <w:rsid w:val="00044158"/>
    <w:rsid w:val="0005617A"/>
    <w:rsid w:val="000621AA"/>
    <w:rsid w:val="000701B2"/>
    <w:rsid w:val="00090427"/>
    <w:rsid w:val="00090D37"/>
    <w:rsid w:val="000D49DD"/>
    <w:rsid w:val="000E5F74"/>
    <w:rsid w:val="000E6EA0"/>
    <w:rsid w:val="0010376D"/>
    <w:rsid w:val="001046A8"/>
    <w:rsid w:val="00107E77"/>
    <w:rsid w:val="00134D12"/>
    <w:rsid w:val="001435E1"/>
    <w:rsid w:val="001858E8"/>
    <w:rsid w:val="001911D8"/>
    <w:rsid w:val="001B3949"/>
    <w:rsid w:val="001C53D8"/>
    <w:rsid w:val="001F25B9"/>
    <w:rsid w:val="001F4AD1"/>
    <w:rsid w:val="00204D1F"/>
    <w:rsid w:val="00216FAE"/>
    <w:rsid w:val="00217B9C"/>
    <w:rsid w:val="002417B5"/>
    <w:rsid w:val="002455D4"/>
    <w:rsid w:val="00255A02"/>
    <w:rsid w:val="00295971"/>
    <w:rsid w:val="002B529E"/>
    <w:rsid w:val="002D43F6"/>
    <w:rsid w:val="002D5BDC"/>
    <w:rsid w:val="00315729"/>
    <w:rsid w:val="00316BB1"/>
    <w:rsid w:val="00324EA3"/>
    <w:rsid w:val="00361AEC"/>
    <w:rsid w:val="003714A3"/>
    <w:rsid w:val="00373511"/>
    <w:rsid w:val="00374831"/>
    <w:rsid w:val="00395643"/>
    <w:rsid w:val="003A235B"/>
    <w:rsid w:val="003A78B1"/>
    <w:rsid w:val="00406DFE"/>
    <w:rsid w:val="00414799"/>
    <w:rsid w:val="004175EC"/>
    <w:rsid w:val="00441C77"/>
    <w:rsid w:val="00453B09"/>
    <w:rsid w:val="00471C25"/>
    <w:rsid w:val="0047578D"/>
    <w:rsid w:val="00485061"/>
    <w:rsid w:val="00495BD4"/>
    <w:rsid w:val="004A6DB0"/>
    <w:rsid w:val="004D3BAD"/>
    <w:rsid w:val="004E0816"/>
    <w:rsid w:val="004E7D25"/>
    <w:rsid w:val="004F3C09"/>
    <w:rsid w:val="004F4825"/>
    <w:rsid w:val="005340BD"/>
    <w:rsid w:val="0054696B"/>
    <w:rsid w:val="00550E57"/>
    <w:rsid w:val="00563A59"/>
    <w:rsid w:val="00576917"/>
    <w:rsid w:val="00576A9C"/>
    <w:rsid w:val="00584FB2"/>
    <w:rsid w:val="005C17C5"/>
    <w:rsid w:val="005C4A35"/>
    <w:rsid w:val="005F06C5"/>
    <w:rsid w:val="005F45F7"/>
    <w:rsid w:val="00604BFC"/>
    <w:rsid w:val="00611506"/>
    <w:rsid w:val="006125E5"/>
    <w:rsid w:val="00633B73"/>
    <w:rsid w:val="00652199"/>
    <w:rsid w:val="00663B7B"/>
    <w:rsid w:val="00667C00"/>
    <w:rsid w:val="00667FBA"/>
    <w:rsid w:val="0068381B"/>
    <w:rsid w:val="006A20CC"/>
    <w:rsid w:val="006A7A21"/>
    <w:rsid w:val="006B7387"/>
    <w:rsid w:val="006C4D9A"/>
    <w:rsid w:val="006F7976"/>
    <w:rsid w:val="00700738"/>
    <w:rsid w:val="00700E26"/>
    <w:rsid w:val="00703BDB"/>
    <w:rsid w:val="00721FB4"/>
    <w:rsid w:val="0073099E"/>
    <w:rsid w:val="007311CA"/>
    <w:rsid w:val="007319DC"/>
    <w:rsid w:val="00747984"/>
    <w:rsid w:val="0077090C"/>
    <w:rsid w:val="007C0D01"/>
    <w:rsid w:val="007C0EE4"/>
    <w:rsid w:val="007C1CAE"/>
    <w:rsid w:val="00801DB7"/>
    <w:rsid w:val="00812FD2"/>
    <w:rsid w:val="008276B7"/>
    <w:rsid w:val="008349CA"/>
    <w:rsid w:val="008475F9"/>
    <w:rsid w:val="00851579"/>
    <w:rsid w:val="008676E1"/>
    <w:rsid w:val="008B03FF"/>
    <w:rsid w:val="008B1102"/>
    <w:rsid w:val="009039D0"/>
    <w:rsid w:val="00914FF2"/>
    <w:rsid w:val="0091678D"/>
    <w:rsid w:val="00943594"/>
    <w:rsid w:val="00945B5E"/>
    <w:rsid w:val="00970F21"/>
    <w:rsid w:val="00972CF9"/>
    <w:rsid w:val="00991E85"/>
    <w:rsid w:val="009942D6"/>
    <w:rsid w:val="009B09FA"/>
    <w:rsid w:val="009E599D"/>
    <w:rsid w:val="00A025A9"/>
    <w:rsid w:val="00A14EC0"/>
    <w:rsid w:val="00A40C2F"/>
    <w:rsid w:val="00A41765"/>
    <w:rsid w:val="00A85D63"/>
    <w:rsid w:val="00A90866"/>
    <w:rsid w:val="00A90F00"/>
    <w:rsid w:val="00AA4A2C"/>
    <w:rsid w:val="00AD0E5C"/>
    <w:rsid w:val="00AE0C57"/>
    <w:rsid w:val="00AE4861"/>
    <w:rsid w:val="00AE6D12"/>
    <w:rsid w:val="00AF244C"/>
    <w:rsid w:val="00AF69C7"/>
    <w:rsid w:val="00B03DC6"/>
    <w:rsid w:val="00B23189"/>
    <w:rsid w:val="00B37B66"/>
    <w:rsid w:val="00B44EB2"/>
    <w:rsid w:val="00B61C2C"/>
    <w:rsid w:val="00B658C3"/>
    <w:rsid w:val="00B71604"/>
    <w:rsid w:val="00BC0B07"/>
    <w:rsid w:val="00BD6144"/>
    <w:rsid w:val="00BE163B"/>
    <w:rsid w:val="00BE233A"/>
    <w:rsid w:val="00BF2D30"/>
    <w:rsid w:val="00C13612"/>
    <w:rsid w:val="00C350D4"/>
    <w:rsid w:val="00C61436"/>
    <w:rsid w:val="00C64007"/>
    <w:rsid w:val="00C72A19"/>
    <w:rsid w:val="00C7477F"/>
    <w:rsid w:val="00C8539B"/>
    <w:rsid w:val="00CA0BAE"/>
    <w:rsid w:val="00CB2BA9"/>
    <w:rsid w:val="00CD0F8C"/>
    <w:rsid w:val="00CE2950"/>
    <w:rsid w:val="00D24288"/>
    <w:rsid w:val="00D31186"/>
    <w:rsid w:val="00D807A9"/>
    <w:rsid w:val="00D94A08"/>
    <w:rsid w:val="00DB5701"/>
    <w:rsid w:val="00DC77B5"/>
    <w:rsid w:val="00DD7E8C"/>
    <w:rsid w:val="00DF237B"/>
    <w:rsid w:val="00E17E95"/>
    <w:rsid w:val="00E34DE7"/>
    <w:rsid w:val="00E421CC"/>
    <w:rsid w:val="00E6136F"/>
    <w:rsid w:val="00E62064"/>
    <w:rsid w:val="00E8460C"/>
    <w:rsid w:val="00EC12F5"/>
    <w:rsid w:val="00EC3803"/>
    <w:rsid w:val="00EC5733"/>
    <w:rsid w:val="00EE6BC4"/>
    <w:rsid w:val="00F06D81"/>
    <w:rsid w:val="00F26F14"/>
    <w:rsid w:val="00F51C9B"/>
    <w:rsid w:val="00F61C42"/>
    <w:rsid w:val="00F7528B"/>
    <w:rsid w:val="00F93404"/>
    <w:rsid w:val="00FB5C20"/>
    <w:rsid w:val="00FC5179"/>
    <w:rsid w:val="00FD78A9"/>
    <w:rsid w:val="00FE4341"/>
    <w:rsid w:val="00FF1E66"/>
    <w:rsid w:val="00FF1F57"/>
    <w:rsid w:val="00FF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5B69"/>
  <w15:docId w15:val="{275A0998-704F-A341-9CCD-D79FE471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eastAsia="Cambria" w:hAnsi="Cambria" w:cs="Cambria"/>
      <w:color w:val="000000"/>
      <w:sz w:val="24"/>
      <w:szCs w:val="24"/>
      <w:u w:color="000000"/>
      <w14:textOutline w14:w="12700" w14:cap="flat" w14:cmpd="sng" w14:algn="ctr">
        <w14:noFill/>
        <w14:prstDash w14:val="solid"/>
        <w14:miter w14:lim="400000"/>
      </w14:textOutline>
    </w:rPr>
  </w:style>
  <w:style w:type="paragraph" w:customStyle="1" w:styleId="Heading">
    <w:name w:val="Heading"/>
    <w:pPr>
      <w:keepNext/>
      <w:keepLines/>
      <w:spacing w:before="240"/>
      <w:outlineLvl w:val="0"/>
    </w:pPr>
    <w:rPr>
      <w:rFonts w:ascii="Helvetica Neue" w:hAnsi="Helvetica Neue" w:cs="Arial Unicode MS"/>
      <w:color w:val="2F5496"/>
      <w:sz w:val="32"/>
      <w:szCs w:val="32"/>
      <w:u w:color="2F5496"/>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414799"/>
    <w:rPr>
      <w:color w:val="605E5C"/>
      <w:shd w:val="clear" w:color="auto" w:fill="E1DFDD"/>
    </w:rPr>
  </w:style>
  <w:style w:type="character" w:styleId="CommentReference">
    <w:name w:val="annotation reference"/>
    <w:basedOn w:val="DefaultParagraphFont"/>
    <w:uiPriority w:val="99"/>
    <w:semiHidden/>
    <w:unhideWhenUsed/>
    <w:rsid w:val="003714A3"/>
    <w:rPr>
      <w:sz w:val="16"/>
      <w:szCs w:val="16"/>
    </w:rPr>
  </w:style>
  <w:style w:type="paragraph" w:styleId="CommentText">
    <w:name w:val="annotation text"/>
    <w:basedOn w:val="Normal"/>
    <w:link w:val="CommentTextChar"/>
    <w:uiPriority w:val="99"/>
    <w:semiHidden/>
    <w:unhideWhenUsed/>
    <w:rsid w:val="003714A3"/>
    <w:rPr>
      <w:sz w:val="20"/>
      <w:szCs w:val="20"/>
    </w:rPr>
  </w:style>
  <w:style w:type="character" w:customStyle="1" w:styleId="CommentTextChar">
    <w:name w:val="Comment Text Char"/>
    <w:basedOn w:val="DefaultParagraphFont"/>
    <w:link w:val="CommentText"/>
    <w:uiPriority w:val="99"/>
    <w:semiHidden/>
    <w:rsid w:val="003714A3"/>
  </w:style>
  <w:style w:type="paragraph" w:styleId="CommentSubject">
    <w:name w:val="annotation subject"/>
    <w:basedOn w:val="CommentText"/>
    <w:next w:val="CommentText"/>
    <w:link w:val="CommentSubjectChar"/>
    <w:uiPriority w:val="99"/>
    <w:semiHidden/>
    <w:unhideWhenUsed/>
    <w:rsid w:val="003714A3"/>
    <w:rPr>
      <w:b/>
      <w:bCs/>
    </w:rPr>
  </w:style>
  <w:style w:type="character" w:customStyle="1" w:styleId="CommentSubjectChar">
    <w:name w:val="Comment Subject Char"/>
    <w:basedOn w:val="CommentTextChar"/>
    <w:link w:val="CommentSubject"/>
    <w:uiPriority w:val="99"/>
    <w:semiHidden/>
    <w:rsid w:val="003714A3"/>
    <w:rPr>
      <w:b/>
      <w:bCs/>
    </w:rPr>
  </w:style>
  <w:style w:type="paragraph" w:styleId="Revision">
    <w:name w:val="Revision"/>
    <w:hidden/>
    <w:uiPriority w:val="99"/>
    <w:semiHidden/>
    <w:rsid w:val="004E7D2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4027">
      <w:bodyDiv w:val="1"/>
      <w:marLeft w:val="0"/>
      <w:marRight w:val="0"/>
      <w:marTop w:val="0"/>
      <w:marBottom w:val="0"/>
      <w:divBdr>
        <w:top w:val="none" w:sz="0" w:space="0" w:color="auto"/>
        <w:left w:val="none" w:sz="0" w:space="0" w:color="auto"/>
        <w:bottom w:val="none" w:sz="0" w:space="0" w:color="auto"/>
        <w:right w:val="none" w:sz="0" w:space="0" w:color="auto"/>
      </w:divBdr>
    </w:div>
    <w:div w:id="156194369">
      <w:bodyDiv w:val="1"/>
      <w:marLeft w:val="0"/>
      <w:marRight w:val="0"/>
      <w:marTop w:val="0"/>
      <w:marBottom w:val="0"/>
      <w:divBdr>
        <w:top w:val="none" w:sz="0" w:space="0" w:color="auto"/>
        <w:left w:val="none" w:sz="0" w:space="0" w:color="auto"/>
        <w:bottom w:val="none" w:sz="0" w:space="0" w:color="auto"/>
        <w:right w:val="none" w:sz="0" w:space="0" w:color="auto"/>
      </w:divBdr>
    </w:div>
    <w:div w:id="1263955666">
      <w:bodyDiv w:val="1"/>
      <w:marLeft w:val="0"/>
      <w:marRight w:val="0"/>
      <w:marTop w:val="0"/>
      <w:marBottom w:val="0"/>
      <w:divBdr>
        <w:top w:val="none" w:sz="0" w:space="0" w:color="auto"/>
        <w:left w:val="none" w:sz="0" w:space="0" w:color="auto"/>
        <w:bottom w:val="none" w:sz="0" w:space="0" w:color="auto"/>
        <w:right w:val="none" w:sz="0" w:space="0" w:color="auto"/>
      </w:divBdr>
    </w:div>
    <w:div w:id="1427650115">
      <w:bodyDiv w:val="1"/>
      <w:marLeft w:val="0"/>
      <w:marRight w:val="0"/>
      <w:marTop w:val="0"/>
      <w:marBottom w:val="0"/>
      <w:divBdr>
        <w:top w:val="none" w:sz="0" w:space="0" w:color="auto"/>
        <w:left w:val="none" w:sz="0" w:space="0" w:color="auto"/>
        <w:bottom w:val="none" w:sz="0" w:space="0" w:color="auto"/>
        <w:right w:val="none" w:sz="0" w:space="0" w:color="auto"/>
      </w:divBdr>
    </w:div>
    <w:div w:id="1800491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pc.com/summerlin" TargetMode="External"/><Relationship Id="rId3" Type="http://schemas.openxmlformats.org/officeDocument/2006/relationships/webSettings" Target="webSettings.xml"/><Relationship Id="rId7" Type="http://schemas.openxmlformats.org/officeDocument/2006/relationships/hyperlink" Target="https://tpc.com/summerl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Sanborn</dc:creator>
  <cp:lastModifiedBy>Courtney May</cp:lastModifiedBy>
  <cp:revision>2</cp:revision>
  <dcterms:created xsi:type="dcterms:W3CDTF">2022-07-13T15:07:00Z</dcterms:created>
  <dcterms:modified xsi:type="dcterms:W3CDTF">2022-07-13T15:07:00Z</dcterms:modified>
</cp:coreProperties>
</file>